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80"/>
        <w:gridCol w:w="10452"/>
      </w:tblGrid>
      <w:tr w:rsidR="00C94E0C" w:rsidRPr="002B7843" w:rsidTr="00C94E0C">
        <w:trPr>
          <w:trHeight w:val="552"/>
        </w:trPr>
        <w:tc>
          <w:tcPr>
            <w:tcW w:w="488" w:type="dxa"/>
            <w:shd w:val="clear" w:color="auto" w:fill="FF8080"/>
            <w:vAlign w:val="bottom"/>
          </w:tcPr>
          <w:p w:rsidR="00C94E0C" w:rsidRPr="002B7843" w:rsidRDefault="00C94E0C" w:rsidP="00C94E0C">
            <w:pPr>
              <w:tabs>
                <w:tab w:val="left" w:pos="17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FF8080"/>
            <w:vAlign w:val="bottom"/>
          </w:tcPr>
          <w:p w:rsidR="00C94E0C" w:rsidRPr="002B7843" w:rsidRDefault="00C94E0C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452" w:type="dxa"/>
            <w:shd w:val="clear" w:color="auto" w:fill="FF8080"/>
            <w:vAlign w:val="bottom"/>
          </w:tcPr>
          <w:p w:rsidR="00C94E0C" w:rsidRPr="002B7843" w:rsidRDefault="00C94E0C" w:rsidP="00625E55">
            <w:pPr>
              <w:ind w:left="260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2nd Grade </w:t>
            </w:r>
            <w:proofErr w:type="spellStart"/>
            <w:r w:rsidRPr="002B7843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Standards</w:t>
            </w:r>
            <w:proofErr w:type="spellEnd"/>
          </w:p>
        </w:tc>
      </w:tr>
      <w:tr w:rsidR="00C94E0C" w:rsidRPr="002B7843" w:rsidTr="00C94E0C">
        <w:trPr>
          <w:trHeight w:val="332"/>
        </w:trPr>
        <w:tc>
          <w:tcPr>
            <w:tcW w:w="11520" w:type="dxa"/>
            <w:gridSpan w:val="3"/>
            <w:vAlign w:val="bottom"/>
          </w:tcPr>
          <w:p w:rsidR="00C94E0C" w:rsidRPr="002B7843" w:rsidRDefault="00C94E0C" w:rsidP="00625E5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784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Key Ideas and </w:t>
            </w:r>
            <w:proofErr w:type="spellStart"/>
            <w:r w:rsidRPr="002B7843">
              <w:rPr>
                <w:rFonts w:asciiTheme="majorHAnsi" w:hAnsiTheme="majorHAnsi" w:cstheme="majorHAnsi"/>
                <w:b/>
                <w:sz w:val="20"/>
                <w:szCs w:val="20"/>
              </w:rPr>
              <w:t>Details</w:t>
            </w:r>
            <w:proofErr w:type="spellEnd"/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1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Ask and answer such questions as who, what, where, when, why, and how to demonstrate understanding of key details in a text.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Recount stories, including fables and folktales from diverse cultures, and determine their central message, lesson, or moral.</w:t>
            </w:r>
          </w:p>
        </w:tc>
      </w:tr>
      <w:tr w:rsidR="00C94E0C" w:rsidRPr="00CD02E9" w:rsidTr="00C94E0C">
        <w:trPr>
          <w:trHeight w:val="227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8" w:lineRule="exact"/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Describe how characters in a story respond to major events and challenges.</w:t>
            </w:r>
          </w:p>
        </w:tc>
      </w:tr>
      <w:tr w:rsidR="00C94E0C" w:rsidRPr="002B7843" w:rsidTr="00C94E0C">
        <w:trPr>
          <w:trHeight w:val="215"/>
        </w:trPr>
        <w:tc>
          <w:tcPr>
            <w:tcW w:w="11520" w:type="dxa"/>
            <w:gridSpan w:val="3"/>
            <w:vAlign w:val="bottom"/>
          </w:tcPr>
          <w:p w:rsidR="00C94E0C" w:rsidRPr="002B7843" w:rsidRDefault="00C94E0C" w:rsidP="00C94E0C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C94E0C" w:rsidRPr="00CD02E9" w:rsidTr="00C94E0C">
        <w:trPr>
          <w:trHeight w:val="221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1" w:lineRule="exact"/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4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Describe how words and phrases (e.g., regular beats, alliteration, rhymes, repeated lines) supply rhythm and meaning in a story, poem, or song.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5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Describe the overall structure of a story, including describing how the beginning introduces the story and the ending concludes the action.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right="102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Acknowledge differences in the points of view of characters, including by speaking in a different voice for each character when reading dialogue aloud.</w:t>
            </w:r>
          </w:p>
        </w:tc>
      </w:tr>
      <w:tr w:rsidR="00C94E0C" w:rsidRPr="00CD02E9" w:rsidTr="00C94E0C">
        <w:trPr>
          <w:trHeight w:val="212"/>
        </w:trPr>
        <w:tc>
          <w:tcPr>
            <w:tcW w:w="11520" w:type="dxa"/>
            <w:gridSpan w:val="3"/>
            <w:vAlign w:val="bottom"/>
          </w:tcPr>
          <w:p w:rsidR="00C94E0C" w:rsidRPr="002B7843" w:rsidRDefault="00C94E0C" w:rsidP="00625E55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7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information gained from the illustrations and words in a print or digital text to demonstrate understanding of its characters, setting, or plot.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9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C94E0C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Compare and contrast two or more versions of the same story (e.g., Cinderella stories) by different authors or from different cultures.</w:t>
            </w:r>
          </w:p>
        </w:tc>
      </w:tr>
      <w:tr w:rsidR="000C5DE2" w:rsidRPr="00CD02E9" w:rsidTr="00F220E3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2B7843" w:rsidRDefault="000C5DE2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Range of Reading and Level of Text Complexity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By the end of the year, read and comprehend literature,</w:t>
            </w:r>
            <w:r w:rsidR="00AA53DA" w:rsidRPr="002B7843">
              <w:rPr>
                <w:rFonts w:asciiTheme="majorHAnsi" w:eastAsia="Arial" w:hAnsiTheme="majorHAnsi" w:cstheme="majorHAnsi"/>
                <w:w w:val="99"/>
                <w:sz w:val="20"/>
                <w:szCs w:val="20"/>
                <w:lang w:val="en-US"/>
              </w:rPr>
              <w:t xml:space="preserve"> including prose and poetry, in the grades 2–3 text complexity band proficiently, with scaffolding as needed at the high end of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the range.</w:t>
            </w:r>
          </w:p>
        </w:tc>
      </w:tr>
      <w:tr w:rsidR="000C5DE2" w:rsidRPr="002B7843" w:rsidTr="001E235C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2B7843" w:rsidRDefault="000C5DE2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Key Ideas and Details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Ask and answer such questions as who, what, where, when, why, and how to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demonstrate understanding of key details in a text.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w w:val="99"/>
                <w:sz w:val="20"/>
                <w:szCs w:val="20"/>
                <w:lang w:val="en-US"/>
              </w:rPr>
              <w:t xml:space="preserve">Identify the main topic of a </w:t>
            </w:r>
            <w:r w:rsidR="00AA53DA" w:rsidRPr="002B7843">
              <w:rPr>
                <w:rFonts w:asciiTheme="majorHAnsi" w:eastAsia="Arial" w:hAnsiTheme="majorHAnsi" w:cstheme="majorHAnsi"/>
                <w:w w:val="99"/>
                <w:sz w:val="20"/>
                <w:szCs w:val="20"/>
                <w:lang w:val="en-US"/>
              </w:rPr>
              <w:t>multipara graph</w:t>
            </w:r>
            <w:r w:rsidRPr="002B7843">
              <w:rPr>
                <w:rFonts w:asciiTheme="majorHAnsi" w:eastAsia="Arial" w:hAnsiTheme="majorHAnsi" w:cstheme="majorHAnsi"/>
                <w:w w:val="99"/>
                <w:sz w:val="20"/>
                <w:szCs w:val="20"/>
                <w:lang w:val="en-US"/>
              </w:rPr>
              <w:t xml:space="preserve"> text as well as the focus of specific paragraphs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within the text.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Describe the connection between a series of historical events, scientific ideas or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concepts, or steps in technical procedures in a text.</w:t>
            </w:r>
          </w:p>
        </w:tc>
      </w:tr>
      <w:tr w:rsidR="000C5DE2" w:rsidRPr="002B7843" w:rsidTr="004D4448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2B7843" w:rsidRDefault="000C5DE2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Determine the meaning of words and phrases in a text relevant to a grade 2 topic or subject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area.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Know and use various text features (e.g., captions, bold print, subheadings, glossaries,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indexes, electronic menus, icons) to locate key facts or information in a text efficiently.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Identify the main purpose of a text, including what the author wants to answer, explain, or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describe.</w:t>
            </w:r>
          </w:p>
        </w:tc>
      </w:tr>
      <w:tr w:rsidR="000C5DE2" w:rsidRPr="00CD02E9" w:rsidTr="00820BFB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2B7843" w:rsidRDefault="000C5DE2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0452" w:type="dxa"/>
            <w:vAlign w:val="bottom"/>
          </w:tcPr>
          <w:p w:rsidR="00AA53DA" w:rsidRPr="002B7843" w:rsidRDefault="00C94E0C" w:rsidP="000C5DE2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Explain how specific images (e.g., a diagram showing how a machine</w:t>
            </w:r>
            <w:r w:rsidR="000C5DE2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works) contribute to and clarify a text.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: Describe how reasons support specific points the author makes in a text.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Compare and contrast the most important points presented by two texts on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the same topic.</w:t>
            </w:r>
          </w:p>
        </w:tc>
      </w:tr>
      <w:tr w:rsidR="000C5DE2" w:rsidRPr="00CD02E9" w:rsidTr="00552E16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2B7843" w:rsidRDefault="000C5DE2" w:rsidP="00AA53DA">
            <w:pPr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Range of Reading and Level of Text Complexity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AA53DA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By the end of year, read and comprehend informational texts,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including history/social studies, science, and technical texts, in the grades 2–3 text complexity band proficiently, with scaffolding as needed at the high end of the range.</w:t>
            </w:r>
          </w:p>
        </w:tc>
      </w:tr>
      <w:tr w:rsidR="000C5DE2" w:rsidRPr="002B7843" w:rsidTr="00937A7A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2B7843" w:rsidRDefault="000C5DE2" w:rsidP="000C5DE2">
            <w:pPr>
              <w:rPr>
                <w:rFonts w:asciiTheme="majorHAnsi" w:eastAsia="Arial" w:hAnsiTheme="majorHAnsi" w:cstheme="majorHAnsi"/>
                <w:b/>
                <w:w w:val="99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w w:val="99"/>
                <w:sz w:val="20"/>
                <w:szCs w:val="20"/>
                <w:lang w:val="en-US"/>
              </w:rPr>
              <w:t>Phonics and Word Recognition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w w:val="99"/>
                <w:sz w:val="20"/>
                <w:szCs w:val="20"/>
                <w:lang w:val="en-US"/>
              </w:rPr>
              <w:t>Know and apply grade-level phonics and word analysis skills in decoding words.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3.a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Distinguish long and short vowels when reading regularly spelled one-syllable</w:t>
            </w:r>
            <w:r w:rsidR="000C5DE2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words.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3.b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Know spelling-sound correspondences for additional common vowel teams.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3.c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Decode regularly spelled two-syllable words with long vowels.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3.d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Decode words with common prefixes and suffixes.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3.e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w w:val="99"/>
                <w:sz w:val="20"/>
                <w:szCs w:val="20"/>
                <w:lang w:val="en-US"/>
              </w:rPr>
              <w:t>Identify words with inconsistent but common spelling-sound correspondences.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3.f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Recognize and read grade-appropriate irregularly spelled words.</w:t>
            </w:r>
          </w:p>
        </w:tc>
      </w:tr>
      <w:tr w:rsidR="000C5DE2" w:rsidRPr="002B7843" w:rsidTr="00FA29E8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2B7843" w:rsidRDefault="00CD02E9" w:rsidP="00625E55">
            <w:pPr>
              <w:spacing w:line="228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Fluency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Read with sufficient accuracy and fluency to support comprehension.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4.a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Read on-level text with purpose and understanding.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4.b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Read on-level text orally with accuracy, appropriate rate, and expression.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4.c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context to confirm or self-correct word recognition and understanding, rereading as necessary.</w:t>
            </w:r>
          </w:p>
        </w:tc>
      </w:tr>
      <w:tr w:rsidR="000C5DE2" w:rsidRPr="002B7843" w:rsidTr="002637DC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2B7843" w:rsidRDefault="000C5DE2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Text Types and Purposes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Write opinion pieces in which they introduce the topic or book they are writing about,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state an opinion, supply reasons that support the opinion, use linking words (e.g., because, and, also) to connect opinion and reasons, and provide a concluding statement or section.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AA53DA" w:rsidRPr="002B7843" w:rsidRDefault="00C94E0C" w:rsidP="002B7843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Write informative/explanatory texts in which they introduce a topic, use facts and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definitions to develop points, and provide a concluding statement or section.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2B7843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Write narratives in which they recount a well-elaborated event or short sequence of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events, include details to describe actions, thoughts, and feelings, use temporal words to signal event order, and provide a sense of closure.</w:t>
            </w:r>
          </w:p>
        </w:tc>
      </w:tr>
      <w:tr w:rsidR="002B7843" w:rsidRPr="00CD02E9" w:rsidTr="00622694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2B7843" w:rsidRDefault="002B7843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Production and Distribution of Writing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lastRenderedPageBreak/>
              <w:t>W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With guidance and support from adults and peers, focus on a topic and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strengthen writing as needed by revising and editing.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With guidance and support from adults, use a variety of digital tools to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produce and publish writing, including in collaboration with peers.</w:t>
            </w:r>
          </w:p>
        </w:tc>
      </w:tr>
      <w:tr w:rsidR="002B7843" w:rsidRPr="00CD02E9" w:rsidTr="00BE477D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2B7843" w:rsidRDefault="002B7843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Research to Build and Present Knowledge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Participate in shared research and writing projects (e.g., read a</w:t>
            </w:r>
          </w:p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number of books on a single topic to produce a report; record science observations).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Recall information from experiences or gather information from</w:t>
            </w:r>
          </w:p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provided sources to answer a question.</w:t>
            </w:r>
          </w:p>
        </w:tc>
      </w:tr>
      <w:tr w:rsidR="002B7843" w:rsidRPr="002B7843" w:rsidTr="001F266A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2B7843" w:rsidRDefault="002B7843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Comprehension and Collaboration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Participate in collaborative conversations with diverse partners about grade 2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topics and texts with peers and adults in small and larger groups.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Follow agreed-upon rules for discussions (e.g., gaining the floor in</w:t>
            </w:r>
          </w:p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respectful ways, listening to others with care, speaking one at a time about the topics and texts under discussion).</w:t>
            </w:r>
          </w:p>
        </w:tc>
      </w:tr>
      <w:tr w:rsidR="00C94E0C" w:rsidRPr="002B7843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Build on others’ talk in conversations by linking their comments to the</w:t>
            </w:r>
          </w:p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rem</w:t>
            </w:r>
            <w:bookmarkStart w:id="0" w:name="_GoBack"/>
            <w:bookmarkEnd w:id="0"/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arks</w:t>
            </w:r>
            <w:proofErr w:type="spellEnd"/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of </w:t>
            </w:r>
            <w:proofErr w:type="spellStart"/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others</w:t>
            </w:r>
            <w:proofErr w:type="spellEnd"/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1.c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Ask for clarification and further explanation as needed about the topics and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texts under discussion.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w w:val="99"/>
                <w:sz w:val="20"/>
                <w:szCs w:val="20"/>
                <w:lang w:val="en-US"/>
              </w:rPr>
              <w:t>Recount or describe key ideas or details from a text read aloud or information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presented orally or through other media.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Ask and answer questions about what a speaker says in order to clarify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comprehension, gather additional information, or deepen understanding of a topic or issue.</w:t>
            </w:r>
          </w:p>
        </w:tc>
      </w:tr>
      <w:tr w:rsidR="002B7843" w:rsidRPr="00CD02E9" w:rsidTr="00C43519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2B7843" w:rsidRDefault="002B7843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Presentation of Knowledge and Ideas</w:t>
            </w:r>
          </w:p>
        </w:tc>
      </w:tr>
      <w:tr w:rsidR="00C94E0C" w:rsidRPr="00CD02E9" w:rsidTr="00C94E0C">
        <w:trPr>
          <w:trHeight w:val="212"/>
        </w:trPr>
        <w:tc>
          <w:tcPr>
            <w:tcW w:w="488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2B7843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52" w:type="dxa"/>
            <w:vAlign w:val="bottom"/>
          </w:tcPr>
          <w:p w:rsidR="00C94E0C" w:rsidRPr="002B7843" w:rsidRDefault="00C94E0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Tell a story or recount an experience with appropriate facts and relevant,</w:t>
            </w:r>
            <w:r w:rsidR="00AA53DA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descriptive details, speaking audibly in coherent sentences.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Create audio recordings of stories or poems; add drawings or other visual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displays to stories or recounts of experiences when appropriate to clarify ideas, thoughts, and feelings.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Produce complete sentences when appropriate to task and situation in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order to provide requested detail or clarification. (See grade 2 Language standards 1and 3 on page 26 for specific expectations.)</w:t>
            </w:r>
          </w:p>
        </w:tc>
      </w:tr>
      <w:tr w:rsidR="002B7843" w:rsidRPr="002B7843" w:rsidTr="008E2852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2B7843" w:rsidRDefault="002B7843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 xml:space="preserve">Conventions of Standard English 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Demonstrate command of the conventions of standard English grammar and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usage when writing or speaking.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1.a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collective nouns (e.g., group).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1.b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Form and use frequently occurring irregular plural nouns (e.g., feet, children,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teeth, mice, fish).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1.c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reflexive pronouns (e.g., myself, ourselves).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1.d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Form and use the past tense of frequently occurring irregular verbs (e.g., sat,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hid, told).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1.e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adjectives and adverbs, and choose between them depending on what is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to be modified.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</w:rPr>
              <w:t>1.f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Produce, expand, and rearrange complete simple and compound sentences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(e.g., The boy watched the movie; The little boy watched the movie; The action movie was watched by the little boy).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Demonstrate command of the conventions of standard English capitalization,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punctuation, and spelling when writing.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2.a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Capitalize holidays, product names, and geographic names.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2.b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commas in greetings and closings of letters.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2.c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an apostrophe to form contractions and frequently occurring possessives.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2.d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Generalize learned spelling patterns when writing words (e.g., cage → badge;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boy → boil).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2.e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Consult reference materials, including beginning dictionaries, as needed to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check and correct spellings</w:t>
            </w:r>
          </w:p>
        </w:tc>
      </w:tr>
      <w:tr w:rsidR="001C0C9F" w:rsidRPr="002B7843" w:rsidTr="001408A9">
        <w:trPr>
          <w:trHeight w:val="212"/>
        </w:trPr>
        <w:tc>
          <w:tcPr>
            <w:tcW w:w="11520" w:type="dxa"/>
            <w:gridSpan w:val="3"/>
            <w:vAlign w:val="bottom"/>
          </w:tcPr>
          <w:p w:rsidR="001C0C9F" w:rsidRPr="001C0C9F" w:rsidRDefault="001C0C9F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1C0C9F"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  <w:t>Knowledge of Language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2B7843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knowledge of language and its conventions when writing, speaking, reading, or</w:t>
            </w:r>
            <w:r w:rsidR="002B7843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listening.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3.a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Compare formal and informal uses of English.</w:t>
            </w:r>
          </w:p>
        </w:tc>
      </w:tr>
      <w:tr w:rsidR="001C0C9F" w:rsidRPr="002B7843" w:rsidTr="00D136C7">
        <w:trPr>
          <w:trHeight w:val="212"/>
        </w:trPr>
        <w:tc>
          <w:tcPr>
            <w:tcW w:w="11520" w:type="dxa"/>
            <w:gridSpan w:val="3"/>
            <w:vAlign w:val="bottom"/>
          </w:tcPr>
          <w:p w:rsidR="001C0C9F" w:rsidRPr="001C0C9F" w:rsidRDefault="001C0C9F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1C0C9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Vocabulary Acquisition and Use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Determine or clarify the meaning of unknown and multiple-meaning words and</w:t>
            </w:r>
            <w:r w:rsidR="001C0C9F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phrases based on grade 2 reading and content, choosing flexibly from an array of strategies.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4.a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sentence-level context as a clue to the meaning of a word or phrase.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1C0C9F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1C0C9F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4.b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Determine the meaning of the new word formed when a known prefix is added</w:t>
            </w:r>
            <w:r w:rsidR="001C0C9F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to a known word (e.g., happy/unhappy, tell/retell).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4.c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a known root word as a clue to the meaning of an unknown word with the</w:t>
            </w:r>
            <w:r w:rsidR="001C0C9F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same root (e.g., addition, additional).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4.d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Use knowledge of the meaning of individual words to predict the meaning of</w:t>
            </w:r>
            <w:r w:rsidR="001C0C9F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compound words (e.g., birdhouse, lighthouse, housefly; bookshelf, notebook, bookmark).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4.e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w w:val="99"/>
                <w:sz w:val="20"/>
                <w:szCs w:val="20"/>
                <w:lang w:val="en-US"/>
              </w:rPr>
              <w:t>CC.2.L.4.e Vocabulary Acquisition and Use: Use glossaries and beginning dictionaries, both print and digital, to determine or</w:t>
            </w:r>
            <w:r w:rsidR="001C0C9F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clarify the meaning of words and phrases.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2" w:type="dxa"/>
            <w:vAlign w:val="bottom"/>
          </w:tcPr>
          <w:p w:rsidR="00AA53DA" w:rsidRPr="001C0C9F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Demonstrate understanding of word relationships and nuances in word</w:t>
            </w:r>
            <w:r w:rsidR="001C0C9F" w:rsidRPr="001C0C9F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meanings.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5.a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CC.2.L.5.a Vocabulary Acquisition and Use: Identify real-life connections between words and their use (e.g., describe foods</w:t>
            </w:r>
            <w:r w:rsidR="001C0C9F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that are spicy or juicy).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</w:rPr>
              <w:t>5.b</w:t>
            </w:r>
          </w:p>
        </w:tc>
        <w:tc>
          <w:tcPr>
            <w:tcW w:w="10452" w:type="dxa"/>
            <w:vAlign w:val="bottom"/>
          </w:tcPr>
          <w:p w:rsidR="00AA53DA" w:rsidRPr="002B7843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CC.2.L.5.b Vocabulary Acquisition and Use: Distinguish shades of meaning among closely related verbs (e.g., toss, throw,</w:t>
            </w:r>
            <w:r w:rsidR="001C0C9F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hurl) and closely related adjectives (e.g., thin, slender, skinny, scrawny).</w:t>
            </w:r>
          </w:p>
        </w:tc>
      </w:tr>
      <w:tr w:rsidR="00AA53DA" w:rsidRPr="00CD02E9" w:rsidTr="00C94E0C">
        <w:trPr>
          <w:trHeight w:val="212"/>
        </w:trPr>
        <w:tc>
          <w:tcPr>
            <w:tcW w:w="488" w:type="dxa"/>
            <w:vAlign w:val="bottom"/>
          </w:tcPr>
          <w:p w:rsidR="00AA53DA" w:rsidRPr="002B7843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2B7843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452" w:type="dxa"/>
            <w:vAlign w:val="bottom"/>
          </w:tcPr>
          <w:p w:rsidR="00AA53DA" w:rsidRPr="001C0C9F" w:rsidRDefault="00AA53DA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CC.2.L.6 Vocabulary Acquisition and Use: Use words and phrases acquired through conversations, reading and being read</w:t>
            </w:r>
            <w:r w:rsidR="001C0C9F" w:rsidRPr="002B7843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to, and responding to texts, including using adjectives and adverbs to describe (e.g., When other kids are happy that makes</w:t>
            </w:r>
            <w:r w:rsidR="001C0C9F" w:rsidRPr="001C0C9F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 me happy).</w:t>
            </w:r>
          </w:p>
        </w:tc>
      </w:tr>
    </w:tbl>
    <w:p w:rsidR="00D964FD" w:rsidRPr="002B7843" w:rsidRDefault="0086580A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D964FD" w:rsidRPr="002B7843" w:rsidSect="000C5DE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0C"/>
    <w:rsid w:val="000C5DE2"/>
    <w:rsid w:val="001C0C9F"/>
    <w:rsid w:val="002B7843"/>
    <w:rsid w:val="004249B7"/>
    <w:rsid w:val="005A56B5"/>
    <w:rsid w:val="0086580A"/>
    <w:rsid w:val="00AA53DA"/>
    <w:rsid w:val="00C94E0C"/>
    <w:rsid w:val="00C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0050"/>
  <w15:docId w15:val="{2D5812D8-5A04-4BDE-A0EF-0969C078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E0C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E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2</cp:revision>
  <dcterms:created xsi:type="dcterms:W3CDTF">2017-11-21T21:55:00Z</dcterms:created>
  <dcterms:modified xsi:type="dcterms:W3CDTF">2017-11-21T21:55:00Z</dcterms:modified>
</cp:coreProperties>
</file>