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5" w:type="dxa"/>
        <w:tblInd w:w="-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630"/>
        <w:gridCol w:w="10440"/>
      </w:tblGrid>
      <w:tr w:rsidR="00AB0412" w:rsidRPr="009E21A1" w:rsidTr="00AD1450">
        <w:trPr>
          <w:trHeight w:val="552"/>
        </w:trPr>
        <w:tc>
          <w:tcPr>
            <w:tcW w:w="11525" w:type="dxa"/>
            <w:gridSpan w:val="3"/>
            <w:shd w:val="clear" w:color="auto" w:fill="FF8080"/>
            <w:vAlign w:val="center"/>
          </w:tcPr>
          <w:p w:rsidR="00AB0412" w:rsidRPr="009E21A1" w:rsidRDefault="00AB0412" w:rsidP="00AB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4th Grade </w:t>
            </w:r>
            <w:proofErr w:type="spellStart"/>
            <w:r w:rsidRPr="009E21A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Standards</w:t>
            </w:r>
            <w:proofErr w:type="spellEnd"/>
          </w:p>
        </w:tc>
      </w:tr>
      <w:tr w:rsidR="00AB0412" w:rsidRPr="009E21A1" w:rsidTr="00AD1450">
        <w:trPr>
          <w:trHeight w:val="242"/>
        </w:trPr>
        <w:tc>
          <w:tcPr>
            <w:tcW w:w="11525" w:type="dxa"/>
            <w:gridSpan w:val="3"/>
            <w:vAlign w:val="bottom"/>
          </w:tcPr>
          <w:p w:rsidR="00AB0412" w:rsidRPr="009E21A1" w:rsidRDefault="00AB0412" w:rsidP="00E54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1A1">
              <w:rPr>
                <w:rFonts w:ascii="Arial" w:hAnsi="Arial" w:cs="Arial"/>
                <w:b/>
                <w:sz w:val="20"/>
                <w:szCs w:val="20"/>
              </w:rPr>
              <w:t xml:space="preserve">Key Ideas and </w:t>
            </w:r>
            <w:proofErr w:type="spellStart"/>
            <w:r w:rsidRPr="009E21A1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proofErr w:type="spellEnd"/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AB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CC.4.R.L.1 Key Ideas and Details: Refer to details and examples in a text when explaining what the text says explicitly and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when drawing inferences from the text.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AB0412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CC.4.R.L.2 Key Ideas and Details: Determine a theme of a story, drama, or poem from details in the text; summarize the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text.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AB0412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CC.4.R.L.3 Key Ideas and Details: Describe in depth a character, setting, or event in a story or drama, drawing on specific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details in the text (e.g., a character’s thoughts, words, or actions).</w:t>
            </w:r>
          </w:p>
        </w:tc>
      </w:tr>
      <w:tr w:rsidR="009E21A1" w:rsidRPr="009E21A1" w:rsidTr="007846E9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9E21A1" w:rsidRDefault="009E21A1" w:rsidP="00E54754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Craft and Structure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AB04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Determine the meaning of words and phrases as they are used in a text, including those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that allude to significant characters found in mythology (e.g., Herculean).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AB04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Explain major differences between poems, drama, and prose, and refer to the structural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elements of poems (e.g., verse, rhythm, meter) and drama (e.g., casts of characters, setting descriptions, dialogue, stage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directions) when writing or speaking about a text.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Compare and contrast the point of view from which different stories are narrated, including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the difference between first- and third-person narrations.</w:t>
            </w:r>
          </w:p>
        </w:tc>
      </w:tr>
      <w:tr w:rsidR="009E21A1" w:rsidRPr="009E21A1" w:rsidTr="00870A9E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9E21A1" w:rsidRDefault="009E21A1" w:rsidP="00E54754">
            <w:pPr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Integration of Knowledge and Ideas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Make connections between the text of a story or drama and a visual or oral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presentation of the text, identifying where each version reflects specific descriptions and directions in the text.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Compare and contrast the treatment of similar themes and topics (e.g.,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opposition of good and evil) and patterns of events (e.g., the quest) in stories, myths, and traditional literature from different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cultures.</w:t>
            </w:r>
          </w:p>
        </w:tc>
      </w:tr>
      <w:tr w:rsidR="009E21A1" w:rsidRPr="009E21A1" w:rsidTr="00507D86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9E21A1" w:rsidRDefault="009E21A1" w:rsidP="00E54754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Range of Reading and Complexity of Text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630" w:type="dxa"/>
            <w:vAlign w:val="bottom"/>
          </w:tcPr>
          <w:p w:rsidR="00AB041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By the end of the year, read and comprehend literature, including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stories, dramas, and poetry, in the grades 4–5 text complexity band proficiently, with scaffolding as needed at the high end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of the range.</w:t>
            </w:r>
          </w:p>
        </w:tc>
      </w:tr>
      <w:tr w:rsidR="009E21A1" w:rsidRPr="009E21A1" w:rsidTr="005E3ACD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9E21A1" w:rsidRDefault="009E21A1" w:rsidP="00E54754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Key Ideas and Details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Refer to details and examples in a text when explaining what the text says explicitly and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when drawing inferences from the text.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Determine the main idea of a text and explain how it is supported by key details;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summarize the text.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Explain events, procedures, ideas, or concepts in a historical, scientific, or technical text,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including what happened and why, based on specific information in the text.</w:t>
            </w:r>
          </w:p>
        </w:tc>
      </w:tr>
      <w:tr w:rsidR="009E21A1" w:rsidRPr="009E21A1" w:rsidTr="00413C25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9E21A1" w:rsidRDefault="009E21A1" w:rsidP="00E54754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Craft and Structure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Determine the meaning of general academic and domain-specific words or phrases in a text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relevant to a grade 4 </w:t>
            </w:r>
            <w:proofErr w:type="gramStart"/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topic</w:t>
            </w:r>
            <w:proofErr w:type="gramEnd"/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or subject area.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Describe the overall structure (e.g., chronology, comparison, cause/effect, </w:t>
            </w:r>
            <w:proofErr w:type="gramStart"/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problem</w:t>
            </w:r>
            <w:proofErr w:type="gramEnd"/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/solution)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of events, ideas, concepts, or information in a text or part of a text.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Compare and contrast a firsthand and secondhand account of the same event or topic;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describe the differences in focus and the information provided.</w:t>
            </w:r>
          </w:p>
        </w:tc>
      </w:tr>
      <w:tr w:rsidR="009E21A1" w:rsidRPr="009E21A1" w:rsidTr="00807BAB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9E21A1" w:rsidRDefault="009E21A1" w:rsidP="00E54754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Integration of Knowledge and Ideas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Interpret information presented visually, orally, or quantitatively (e.g., in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charts, graphs, diagrams, time lines, animations, or interactive elements on Web pages) and explain how the information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contributes to an understanding of the text in which it appears.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Explain how an author uses reasons and evidence to support particular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points in a text.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Integrate information from two texts on the same topic in order to write or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speak about the subject knowledgeably.</w:t>
            </w:r>
          </w:p>
        </w:tc>
      </w:tr>
      <w:tr w:rsidR="009E21A1" w:rsidRPr="009E21A1" w:rsidTr="00031A21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9E21A1" w:rsidRDefault="009E21A1" w:rsidP="00E54754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Range of Reading and Complexity of Text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630" w:type="dxa"/>
            <w:vAlign w:val="bottom"/>
          </w:tcPr>
          <w:p w:rsidR="00AB041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By the end of year, read and comprehend informational texts,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including history/social studies, science, and technical texts, in the grades 4–5 text complexity band proficiently, with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scaffolding as necessary at the high end of the range.</w:t>
            </w:r>
          </w:p>
        </w:tc>
      </w:tr>
      <w:tr w:rsidR="009E21A1" w:rsidRPr="009E21A1" w:rsidTr="00D17E7D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9E21A1" w:rsidRDefault="009E21A1" w:rsidP="00E54754">
            <w:pPr>
              <w:ind w:left="20"/>
              <w:rPr>
                <w:rFonts w:ascii="Arial" w:eastAsia="Arial" w:hAnsi="Arial" w:cs="Arial"/>
                <w:b/>
                <w:w w:val="99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w w:val="99"/>
                <w:sz w:val="20"/>
                <w:szCs w:val="20"/>
                <w:lang w:val="en-US"/>
              </w:rPr>
              <w:t>Phonics and Word Recognition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w w:val="99"/>
                <w:sz w:val="20"/>
                <w:szCs w:val="20"/>
                <w:lang w:val="en-US"/>
              </w:rPr>
              <w:t>Know and apply grade-level phonics and word analysis skills in decoding words.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AB041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</w:rPr>
              <w:t>3.a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Use combined knowledge of all letter-sound correspondences, syllabication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patterns, and morphology (e.g., roots and affixes) to read accurately unfamiliar multisyllabic words in context and out of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context.</w:t>
            </w:r>
          </w:p>
        </w:tc>
      </w:tr>
      <w:tr w:rsidR="009E21A1" w:rsidRPr="009E21A1" w:rsidTr="00C80EA2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9E21A1" w:rsidRDefault="009E21A1" w:rsidP="00E54754">
            <w:pPr>
              <w:spacing w:line="228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Fluency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Read with sufficient accuracy and fluency to support comprehension.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4.a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Read on-level text with purpose and understanding.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4.b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Read on-level prose and poetry orally with accuracy, appropriate rate, and expression.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R.F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4.c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Use context to confirm or self-correct word recognition and understanding, rereading as necessary.</w:t>
            </w:r>
          </w:p>
        </w:tc>
      </w:tr>
      <w:tr w:rsidR="009E21A1" w:rsidRPr="009E21A1" w:rsidTr="00A94D51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9E21A1" w:rsidRDefault="009E21A1" w:rsidP="00E54754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Text Types and Purposes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Write opinion pieces on topics or texts, supporting a point of view with reasons and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information.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1.a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Introduce a topic or text clearly, state an opinion, and create an organizational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structure in which related ideas are grouped to support the writer’s purpose.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lastRenderedPageBreak/>
              <w:t>W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Provide reasons that are supported by facts and details.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Link opinion and reasons using words and phrases (e.g., for instance, in order to, in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addition).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Provide a concluding statement or section related to the opinion presented.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Write informative/explanatory texts to examine a topic and convey ideas and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information clearly.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2.a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Introduce a topic clearly and group related information in paragraphs and sections;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include formatting (e.g., headings), illustrations, and multimedia when useful to aiding comprehension.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2.b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Develop the topic with facts, definitions, concrete details, quotations, or other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information and examples related to the topic.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2.c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Link ideas within categories of information using words and phrases (e.g., another,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for example, also, because).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2.d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Use precise language and domain-specific vocabulary to inform about or explain the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topic.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2.e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Provide a concluding statement or section related to the information or explanation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presented.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Write narratives to develop real or imagined experiences or events using effective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technique, descriptive details, and clear event sequences.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3.a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Orient the reader by establishing a situation and introducing a narrator and/or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characters; organize an event sequence that unfolds naturally.</w:t>
            </w:r>
          </w:p>
        </w:tc>
      </w:tr>
      <w:tr w:rsidR="00AB0412" w:rsidRPr="009E21A1" w:rsidTr="00AD1450">
        <w:trPr>
          <w:trHeight w:val="212"/>
        </w:trPr>
        <w:tc>
          <w:tcPr>
            <w:tcW w:w="455" w:type="dxa"/>
            <w:vAlign w:val="bottom"/>
          </w:tcPr>
          <w:p w:rsidR="00AB0412" w:rsidRPr="009E21A1" w:rsidRDefault="00AB041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AB0412" w:rsidRPr="009E21A1" w:rsidRDefault="00AB041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3.b</w:t>
            </w:r>
          </w:p>
        </w:tc>
        <w:tc>
          <w:tcPr>
            <w:tcW w:w="10440" w:type="dxa"/>
            <w:vAlign w:val="bottom"/>
          </w:tcPr>
          <w:p w:rsidR="00AB0412" w:rsidRPr="009E21A1" w:rsidRDefault="00AB041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Use dialogue and description to develop experiences and events or show the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631C22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responses of characters to situations.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3.c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Use a variety of transitional words and phrases to manage the sequence of events.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3.d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CC.4.W.3.d Text Types and Purposes: Use concrete words and phrases and sensory details to convey experiences and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events precisely.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3.e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Provide a conclusion that follows from the narrated experiences or events.</w:t>
            </w:r>
          </w:p>
        </w:tc>
      </w:tr>
      <w:tr w:rsidR="009E21A1" w:rsidRPr="009E21A1" w:rsidTr="003E4C02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9E21A1" w:rsidRDefault="009E21A1" w:rsidP="00E54754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Production and Distribution of Writing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Produce clear and coherent writing in which the development and</w:t>
            </w:r>
            <w:r w:rsidR="00AD1450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D1450"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organization are appropriate to task, purpose, and audience. (Grade-specific expectations for writing types are defined in standards 1–3 above.)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With guidance and support from peers and adults, develop and strengthen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writing as needed by planning, revising, and editing</w:t>
            </w:r>
            <w:proofErr w:type="gramStart"/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.(</w:t>
            </w:r>
            <w:proofErr w:type="gramEnd"/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Editing for conventions should demonstrate command of Language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standards 1–3up to and including grade 4 on page 29.)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With some guidance and support from adults, use technology, including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the Internet, to produce and publish writing as well as to interact and collaborate with others; demonstrate sufficient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command of keyboarding skills to type a minimum of one page in a single sitting.</w:t>
            </w:r>
          </w:p>
        </w:tc>
      </w:tr>
      <w:tr w:rsidR="009E21A1" w:rsidRPr="009E21A1" w:rsidTr="00D71BF8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9E21A1" w:rsidRDefault="009E21A1" w:rsidP="00E54754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Research to Build and Present Knowledge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Conduct short research projects that build knowledge through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investigation of different aspects of a topic.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Recall relevant information from experiences or gather relevant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information from print and digital sources; take notes and categorize information, and provide a list of sources.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Draw evidence from literary or informational texts to support analysis,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reflection, and research.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</w:rPr>
              <w:t>9.a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Apply grade 4 Reading standards to literature (e.g., “Describe in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depth a character, setting, or event in a story or drama, drawing on specific details in the text [e.g., a character’s thoughts,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words, or actions].”).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AD1450" w:rsidP="00E54754">
            <w:pPr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</w:rPr>
              <w:t>9.b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Apply grade 4 Reading standards to informational texts (e.g.,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“Explain how an author uses reasons and evidence to support particular points in a text”).</w:t>
            </w:r>
          </w:p>
        </w:tc>
      </w:tr>
      <w:tr w:rsidR="009E21A1" w:rsidRPr="009E21A1" w:rsidTr="00970090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9E21A1" w:rsidRDefault="009E21A1" w:rsidP="00E54754">
            <w:pPr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Range of Writing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AD1450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630" w:type="dxa"/>
            <w:vAlign w:val="bottom"/>
          </w:tcPr>
          <w:p w:rsidR="00631C2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Write routinely over extended time frames (time for research, reflection, and revision) and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shorter time frames (a single sitting or a day or two) for a range of discipline-specific tasks, purposes, and audiences.</w:t>
            </w:r>
          </w:p>
        </w:tc>
      </w:tr>
      <w:tr w:rsidR="009E21A1" w:rsidRPr="009E21A1" w:rsidTr="004B2586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9E21A1" w:rsidRDefault="009E21A1" w:rsidP="00E54754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Comprehension and Collaboration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AD1450" w:rsidP="009E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Engage effectively in a range of collaborative discussions (one-on-one, in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groups, and teacher-led</w:t>
            </w:r>
            <w:proofErr w:type="gramStart"/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)with</w:t>
            </w:r>
            <w:proofErr w:type="gramEnd"/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diverse partners on grade 4 topics and texts, building on others’ ideas and expressing their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own clearly.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9E21A1" w:rsidP="00E54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AD1450" w:rsidRPr="009E21A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AD1450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hAnsi="Arial" w:cs="Arial"/>
                <w:sz w:val="20"/>
                <w:szCs w:val="20"/>
              </w:rPr>
              <w:t>1.a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Come to discussions </w:t>
            </w:r>
            <w:proofErr w:type="gramStart"/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prepared,</w:t>
            </w:r>
            <w:proofErr w:type="gramEnd"/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having read or studied required material;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explicitly draw on that preparation and other information known about the topic to explore ideas under discussion.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Follow agreed-upon rules for discussions and carry out assigned roles.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Pose and respond to specific questions to clarify or follow up on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information, and make comments that contribute to the discussion and link to the remarks of others.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Review the key ideas expressed and explain their own ideas and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understanding in light of the discussion.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9E21A1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9E21A1" w:rsidRDefault="009E21A1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Paraphrase portions of a text read aloud or information presented in diverse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media and formats, including visually, quantitatively, and orally.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Identify the reasons and evidence a speaker provides to support particular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points.</w:t>
            </w:r>
          </w:p>
        </w:tc>
      </w:tr>
      <w:tr w:rsidR="009E21A1" w:rsidRPr="009E21A1" w:rsidTr="00342654">
        <w:trPr>
          <w:trHeight w:val="212"/>
        </w:trPr>
        <w:tc>
          <w:tcPr>
            <w:tcW w:w="11525" w:type="dxa"/>
            <w:gridSpan w:val="3"/>
            <w:vAlign w:val="bottom"/>
          </w:tcPr>
          <w:p w:rsidR="009E21A1" w:rsidRPr="009E21A1" w:rsidRDefault="009E21A1" w:rsidP="00E54754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Presentation of Knowledge and Ideas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9E21A1" w:rsidP="00E54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9E21A1" w:rsidRDefault="009E21A1" w:rsidP="009E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Report on a topic or text, tell a story, or recount an experience in an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organized manner, using appropriate facts and relevant, descriptive details to support main ideas or themes; speak clearly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at an understandable pace.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Add audio recordings and visual displays to presentations when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appropriate to enhance the development of main ideas or themes.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0C1FCD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630" w:type="dxa"/>
            <w:vAlign w:val="bottom"/>
          </w:tcPr>
          <w:p w:rsidR="00631C22" w:rsidRPr="009E21A1" w:rsidRDefault="000C1FCD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w w:val="99"/>
                <w:sz w:val="20"/>
                <w:szCs w:val="20"/>
                <w:lang w:val="en-US"/>
              </w:rPr>
              <w:t>Differentiate between contexts that call for formal English (e.g., presenting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ideas) and situations where informal discourse is appropriate (e.g., small-group discussion); use formal English when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appropriate to task and situation.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lastRenderedPageBreak/>
              <w:t>(See grade 4 Language standards 1 and 3 on page 28 for specific expectations.)</w:t>
            </w:r>
          </w:p>
        </w:tc>
      </w:tr>
      <w:tr w:rsidR="000C1FCD" w:rsidRPr="009E21A1" w:rsidTr="004A49B7">
        <w:trPr>
          <w:trHeight w:val="212"/>
        </w:trPr>
        <w:tc>
          <w:tcPr>
            <w:tcW w:w="11525" w:type="dxa"/>
            <w:gridSpan w:val="3"/>
            <w:vAlign w:val="bottom"/>
          </w:tcPr>
          <w:p w:rsidR="000C1FCD" w:rsidRPr="000C1FCD" w:rsidRDefault="000C1FCD" w:rsidP="00E54754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lastRenderedPageBreak/>
              <w:t>Conventions of Standard English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Demonstrate command of the conventions of standard English grammar and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usage when writing or speaking.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1.a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Use relative pronouns (who, whose, whom, which, that) and relative </w:t>
            </w:r>
            <w:proofErr w:type="gramStart"/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adverbs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(</w:t>
            </w:r>
            <w:proofErr w:type="gramEnd"/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where, when, why).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0C1FCD" w:rsidRDefault="000C1FCD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C1FCD" w:rsidRDefault="000C1FCD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1.b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Form and use the progressive (e.g., I was walking; I am walking; I will be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walking) verb tenses.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Use modal auxiliaries (e.g., can, may, must) to convey various conditions.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Order adjectives within sentences according to conventional patterns (e.g., a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small red bag rather than a red small bag).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1.e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Form and use prepositional phrases.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1.f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Produce complete sentences, recognizing and correcting inappropriate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fragments and run-ons.*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1.g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Correctly use frequently confused words (e.g., to, too, two; there, their).*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0C1FCD" w:rsidRDefault="000C1FCD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0C1FCD" w:rsidRDefault="000C1FCD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Demonstrate command of the conventions of standard English capitalization,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punctuation, and spelling when writing.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2.a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Use correct capitalization.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0C1FCD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0C1FCD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2.b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Use commas and quotation marks to mark direct speech and quotations from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a text.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2.c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Use a comma before a coordinating conjunction in a compound sentence.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2.d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Spell grade-appropriate words correctly, consulting references as needed.</w:t>
            </w:r>
          </w:p>
        </w:tc>
      </w:tr>
      <w:tr w:rsidR="000C1FCD" w:rsidRPr="009E21A1" w:rsidTr="004A22EC">
        <w:trPr>
          <w:trHeight w:val="212"/>
        </w:trPr>
        <w:tc>
          <w:tcPr>
            <w:tcW w:w="11525" w:type="dxa"/>
            <w:gridSpan w:val="3"/>
            <w:vAlign w:val="bottom"/>
          </w:tcPr>
          <w:p w:rsidR="000C1FCD" w:rsidRPr="000C1FCD" w:rsidRDefault="000C1FCD" w:rsidP="00E54754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Knowledge of Language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0C1FCD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0C1FCD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Use knowledge of language and its conventions when writing, speaking, reading, or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listening.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3.a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0C1FCD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Choose words and phrases to convey ideas precisely.*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spacing w:line="228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3.b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Choose punctuation for effect.*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3.c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Differentiate between contexts that call for formal English (e.g., presenting ideas) and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situations where informal discourse is appropriate (e.g., small-group discussion).</w:t>
            </w:r>
          </w:p>
        </w:tc>
      </w:tr>
      <w:tr w:rsidR="000C1FCD" w:rsidRPr="009E21A1" w:rsidTr="004F3CC9">
        <w:trPr>
          <w:trHeight w:val="212"/>
        </w:trPr>
        <w:tc>
          <w:tcPr>
            <w:tcW w:w="11525" w:type="dxa"/>
            <w:gridSpan w:val="3"/>
            <w:vAlign w:val="bottom"/>
          </w:tcPr>
          <w:p w:rsidR="000C1FCD" w:rsidRPr="000C1FCD" w:rsidRDefault="000C1FCD" w:rsidP="00E54754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Vocabulary Acquisition and Use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Determine or clarify the meaning of unknown and multiple-meaning words and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phrases based on grade 4 reading and content, choosing flexibly from a range of strategies.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0C1FCD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0C1FCD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4.a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Use context (e.g., definitions, examples, or restatements in text) as a clue to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the meaning of a word or phrase.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4.b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Use common, grade-appropriate Greek and Latin affixes and roots as clues to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the meaning of a word (e.g., telegraph, photograph, autograph).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0C1FCD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0C1FCD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4.c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Consult reference materials (e.g., dictionaries, glossaries, thesauruses), both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print and digital, to find the pronunciation and determine or clarify the precise meaning of key words and phrases.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Demonstrate understanding of figurative language, word relationships, and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nuances in word meanings.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5.a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Explain the meaning of simple similes and metaphors (e.g., as pretty as a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picture) in context.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5.b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Recognize and explain the meaning of common idioms, adages, and proverbs.</w:t>
            </w:r>
          </w:p>
        </w:tc>
      </w:tr>
      <w:tr w:rsidR="00631C22" w:rsidRPr="009E21A1" w:rsidTr="00AD1450">
        <w:trPr>
          <w:trHeight w:val="212"/>
        </w:trPr>
        <w:tc>
          <w:tcPr>
            <w:tcW w:w="455" w:type="dxa"/>
            <w:vAlign w:val="bottom"/>
          </w:tcPr>
          <w:p w:rsidR="00631C22" w:rsidRPr="009E21A1" w:rsidRDefault="00631C22" w:rsidP="00E54754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30" w:type="dxa"/>
            <w:vAlign w:val="bottom"/>
          </w:tcPr>
          <w:p w:rsidR="00631C22" w:rsidRPr="009E21A1" w:rsidRDefault="00631C22" w:rsidP="009E21A1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</w:rPr>
              <w:t>5.c</w:t>
            </w:r>
          </w:p>
        </w:tc>
        <w:tc>
          <w:tcPr>
            <w:tcW w:w="10440" w:type="dxa"/>
            <w:vAlign w:val="bottom"/>
          </w:tcPr>
          <w:p w:rsidR="00631C22" w:rsidRPr="009E21A1" w:rsidRDefault="00631C2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Demonstrate understanding of words by relating them to their opposites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(antonyms) and to words with similar but not identical meanings (synonyms).</w:t>
            </w:r>
          </w:p>
        </w:tc>
      </w:tr>
      <w:tr w:rsidR="00412A42" w:rsidRPr="009E21A1" w:rsidTr="00AD1450">
        <w:trPr>
          <w:trHeight w:val="212"/>
        </w:trPr>
        <w:tc>
          <w:tcPr>
            <w:tcW w:w="455" w:type="dxa"/>
            <w:vAlign w:val="bottom"/>
          </w:tcPr>
          <w:p w:rsidR="00412A42" w:rsidRPr="000C1FCD" w:rsidRDefault="000C1FCD" w:rsidP="00E547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630" w:type="dxa"/>
            <w:vAlign w:val="bottom"/>
          </w:tcPr>
          <w:p w:rsidR="00412A42" w:rsidRPr="000C1FCD" w:rsidRDefault="000C1FCD" w:rsidP="009E21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440" w:type="dxa"/>
            <w:vAlign w:val="bottom"/>
          </w:tcPr>
          <w:p w:rsidR="00412A42" w:rsidRPr="009E21A1" w:rsidRDefault="00412A42" w:rsidP="00E54754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Acquire and use accurately grade-appropriate general academic and domain-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specific words and phrases, including those that signal precise actions, emotions, or states of being (e.g., quizzed, whined,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stammered) and that are basic to a particular topic (e.g., wildlife, conservation, and endangered when discussing animal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9E21A1">
              <w:rPr>
                <w:rFonts w:ascii="Arial" w:eastAsia="Arial" w:hAnsi="Arial" w:cs="Arial"/>
                <w:sz w:val="20"/>
                <w:szCs w:val="20"/>
                <w:lang w:val="en-US"/>
              </w:rPr>
              <w:t>preservation).</w:t>
            </w:r>
          </w:p>
        </w:tc>
      </w:tr>
    </w:tbl>
    <w:p w:rsidR="00D964FD" w:rsidRPr="009E21A1" w:rsidRDefault="00BE7AD6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D964FD" w:rsidRPr="009E21A1" w:rsidSect="009E21A1">
      <w:foot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D6" w:rsidRDefault="00BE7AD6" w:rsidP="00BE7AD6">
      <w:r>
        <w:separator/>
      </w:r>
    </w:p>
  </w:endnote>
  <w:endnote w:type="continuationSeparator" w:id="0">
    <w:p w:rsidR="00BE7AD6" w:rsidRDefault="00BE7AD6" w:rsidP="00BE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30" w:type="dxa"/>
      <w:tblInd w:w="-11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430"/>
    </w:tblGrid>
    <w:tr w:rsidR="00BE7AD6" w:rsidRPr="003E1B72" w:rsidTr="00BE7AD6">
      <w:trPr>
        <w:trHeight w:val="797"/>
      </w:trPr>
      <w:tc>
        <w:tcPr>
          <w:tcW w:w="11430" w:type="dxa"/>
          <w:vAlign w:val="bottom"/>
        </w:tcPr>
        <w:p w:rsidR="00BE7AD6" w:rsidRPr="003E1B72" w:rsidRDefault="00BE7AD6" w:rsidP="00E54754">
          <w:pPr>
            <w:rPr>
              <w:sz w:val="20"/>
              <w:szCs w:val="20"/>
              <w:lang w:val="en-US"/>
            </w:rPr>
          </w:pPr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 xml:space="preserve">Strand </w:t>
          </w:r>
          <w:proofErr w:type="spellStart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>Code:R.L</w:t>
          </w:r>
          <w:proofErr w:type="spellEnd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>=Reading-</w:t>
          </w:r>
          <w:proofErr w:type="spellStart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>Literature,R.I</w:t>
          </w:r>
          <w:proofErr w:type="spellEnd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 xml:space="preserve">=Reading Informational </w:t>
          </w:r>
          <w:proofErr w:type="spellStart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>Text,RF</w:t>
          </w:r>
          <w:proofErr w:type="spellEnd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 xml:space="preserve">=Reading Foundation </w:t>
          </w:r>
          <w:proofErr w:type="spellStart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>Skills,W</w:t>
          </w:r>
          <w:proofErr w:type="spellEnd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>=</w:t>
          </w:r>
          <w:proofErr w:type="spellStart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>Writing,SL</w:t>
          </w:r>
          <w:proofErr w:type="spellEnd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 xml:space="preserve">=Speaking </w:t>
          </w:r>
          <w:proofErr w:type="spellStart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>Listening,L</w:t>
          </w:r>
          <w:proofErr w:type="spellEnd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>=Language,</w:t>
          </w:r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 xml:space="preserve"> </w:t>
          </w:r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 xml:space="preserve">R.H.=Reading </w:t>
          </w:r>
          <w:proofErr w:type="spellStart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>History,R.ST</w:t>
          </w:r>
          <w:proofErr w:type="spellEnd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 xml:space="preserve">=Reading in Science and Technical </w:t>
          </w:r>
          <w:proofErr w:type="spellStart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>Text,WHST</w:t>
          </w:r>
          <w:proofErr w:type="spellEnd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 xml:space="preserve">=Writing </w:t>
          </w:r>
          <w:proofErr w:type="spellStart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>History,CC</w:t>
          </w:r>
          <w:proofErr w:type="spellEnd"/>
          <w:r w:rsidRPr="003E1B72">
            <w:rPr>
              <w:rFonts w:ascii="Arial" w:eastAsia="Arial" w:hAnsi="Arial" w:cs="Arial"/>
              <w:sz w:val="20"/>
              <w:szCs w:val="20"/>
              <w:lang w:val="en-US"/>
            </w:rPr>
            <w:t>=Common Core</w:t>
          </w:r>
        </w:p>
      </w:tc>
    </w:tr>
  </w:tbl>
  <w:p w:rsidR="00BE7AD6" w:rsidRPr="00BE7AD6" w:rsidRDefault="00BE7AD6">
    <w:pPr>
      <w:pStyle w:val="Footer"/>
      <w:rPr>
        <w:b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D6" w:rsidRDefault="00BE7AD6" w:rsidP="00BE7AD6">
      <w:r>
        <w:separator/>
      </w:r>
    </w:p>
  </w:footnote>
  <w:footnote w:type="continuationSeparator" w:id="0">
    <w:p w:rsidR="00BE7AD6" w:rsidRDefault="00BE7AD6" w:rsidP="00BE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12"/>
    <w:rsid w:val="000C1FCD"/>
    <w:rsid w:val="00412A42"/>
    <w:rsid w:val="004249B7"/>
    <w:rsid w:val="005A56B5"/>
    <w:rsid w:val="00631C22"/>
    <w:rsid w:val="009E21A1"/>
    <w:rsid w:val="00AB0412"/>
    <w:rsid w:val="00AD1450"/>
    <w:rsid w:val="00B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12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AD6"/>
    <w:rPr>
      <w:rFonts w:ascii="Times New Roman" w:eastAsiaTheme="minorEastAsia" w:hAnsi="Times New Roman" w:cs="Times New Roman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BE7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AD6"/>
    <w:rPr>
      <w:rFonts w:ascii="Times New Roman" w:eastAsiaTheme="minorEastAsia" w:hAnsi="Times New Roman" w:cs="Times New Roman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12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AD6"/>
    <w:rPr>
      <w:rFonts w:ascii="Times New Roman" w:eastAsiaTheme="minorEastAsia" w:hAnsi="Times New Roman" w:cs="Times New Roman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BE7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AD6"/>
    <w:rPr>
      <w:rFonts w:ascii="Times New Roman" w:eastAsiaTheme="minorEastAsia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1995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AlmaCorral</dc:creator>
  <cp:lastModifiedBy>AlmaCorral</cp:lastModifiedBy>
  <cp:revision>4</cp:revision>
  <dcterms:created xsi:type="dcterms:W3CDTF">2017-10-05T15:34:00Z</dcterms:created>
  <dcterms:modified xsi:type="dcterms:W3CDTF">2017-10-05T16:42:00Z</dcterms:modified>
</cp:coreProperties>
</file>